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91EFD" w14:textId="1BD31D67" w:rsidR="000C675D" w:rsidRPr="00140C1A" w:rsidRDefault="00740730" w:rsidP="000C675D">
      <w:pPr>
        <w:rPr>
          <w:sz w:val="24"/>
          <w:szCs w:val="24"/>
        </w:rPr>
      </w:pPr>
      <w:r>
        <w:rPr>
          <w:b/>
          <w:bCs/>
          <w:color w:val="000000"/>
          <w:sz w:val="20"/>
          <w:szCs w:val="20"/>
          <w:lang w:eastAsia="en-AU"/>
        </w:rPr>
        <w:t>2021 CALENDAR</w:t>
      </w:r>
      <w:r w:rsidR="000C675D" w:rsidRPr="00766866">
        <w:rPr>
          <w:b/>
          <w:bCs/>
          <w:color w:val="000000"/>
          <w:sz w:val="20"/>
          <w:szCs w:val="20"/>
          <w:lang w:eastAsia="en-AU"/>
        </w:rPr>
        <w:t xml:space="preserve"> YEAR </w:t>
      </w:r>
      <w:r w:rsidR="007E33DA">
        <w:rPr>
          <w:b/>
          <w:bCs/>
          <w:color w:val="000000"/>
          <w:sz w:val="20"/>
          <w:szCs w:val="20"/>
          <w:lang w:eastAsia="en-AU"/>
        </w:rPr>
        <w:t xml:space="preserve">- </w:t>
      </w:r>
      <w:r w:rsidR="000C675D" w:rsidRPr="00766866">
        <w:rPr>
          <w:b/>
          <w:bCs/>
          <w:color w:val="000000"/>
          <w:sz w:val="20"/>
          <w:szCs w:val="20"/>
          <w:lang w:eastAsia="en-AU"/>
        </w:rPr>
        <w:t xml:space="preserve">SENATE ORDER ON AGENCY CONTRACTS LISTING RELATING TO THE PERIOD 1 </w:t>
      </w:r>
      <w:r w:rsidR="00614505">
        <w:rPr>
          <w:b/>
          <w:bCs/>
          <w:color w:val="000000"/>
          <w:sz w:val="20"/>
          <w:szCs w:val="20"/>
          <w:lang w:eastAsia="en-AU"/>
        </w:rPr>
        <w:t xml:space="preserve">JANUARY </w:t>
      </w:r>
      <w:r w:rsidR="000C675D" w:rsidRPr="00766866">
        <w:rPr>
          <w:b/>
          <w:bCs/>
          <w:color w:val="000000"/>
          <w:sz w:val="20"/>
          <w:szCs w:val="20"/>
          <w:lang w:eastAsia="en-AU"/>
        </w:rPr>
        <w:t xml:space="preserve">TO </w:t>
      </w:r>
      <w:r w:rsidR="00614505">
        <w:rPr>
          <w:b/>
          <w:bCs/>
          <w:color w:val="000000"/>
          <w:sz w:val="20"/>
          <w:szCs w:val="20"/>
          <w:lang w:eastAsia="en-AU"/>
        </w:rPr>
        <w:t xml:space="preserve">31 DECEMBER </w:t>
      </w:r>
      <w:r w:rsidR="000C675D" w:rsidRPr="00766866">
        <w:rPr>
          <w:b/>
          <w:bCs/>
          <w:color w:val="000000"/>
          <w:sz w:val="20"/>
          <w:szCs w:val="20"/>
          <w:lang w:eastAsia="en-AU"/>
        </w:rPr>
        <w:t>202</w:t>
      </w:r>
      <w:r w:rsidR="00452337">
        <w:rPr>
          <w:b/>
          <w:bCs/>
          <w:color w:val="000000"/>
          <w:sz w:val="20"/>
          <w:szCs w:val="20"/>
          <w:lang w:eastAsia="en-AU"/>
        </w:rPr>
        <w:t>1</w:t>
      </w:r>
    </w:p>
    <w:p w14:paraId="3FD6955E" w14:textId="77777777" w:rsidR="000C675D" w:rsidRPr="00766866" w:rsidRDefault="000C675D" w:rsidP="000C675D">
      <w:pPr>
        <w:rPr>
          <w:color w:val="000000"/>
          <w:sz w:val="20"/>
          <w:szCs w:val="20"/>
          <w:lang w:eastAsia="en-AU"/>
        </w:rPr>
      </w:pPr>
      <w:r w:rsidRPr="00766866">
        <w:rPr>
          <w:color w:val="000000"/>
          <w:sz w:val="20"/>
          <w:szCs w:val="20"/>
          <w:lang w:eastAsia="en-AU"/>
        </w:rPr>
        <w:t>Pursuant to the Senate Order on departmental and agency contracts the following table sets out contracts entered into by the Asbestos Safety and Eradication Agency which provides for a consideration to the value of $100,000 or more and which:</w:t>
      </w:r>
    </w:p>
    <w:p w14:paraId="262D1F9A" w14:textId="3FAA8A9A" w:rsidR="000C675D" w:rsidRPr="00766866" w:rsidRDefault="000C675D" w:rsidP="000C675D">
      <w:pPr>
        <w:pStyle w:val="ListParagraph"/>
        <w:numPr>
          <w:ilvl w:val="0"/>
          <w:numId w:val="14"/>
        </w:numPr>
        <w:spacing w:line="276" w:lineRule="auto"/>
        <w:jc w:val="left"/>
        <w:rPr>
          <w:rFonts w:ascii="Calibri" w:hAnsi="Calibri" w:cs="Calibri"/>
          <w:color w:val="000000"/>
          <w:sz w:val="20"/>
          <w:lang w:eastAsia="en-AU"/>
        </w:rPr>
      </w:pPr>
      <w:r w:rsidRPr="00766866">
        <w:rPr>
          <w:rFonts w:ascii="Calibri" w:hAnsi="Calibri" w:cs="Calibri"/>
          <w:color w:val="000000"/>
          <w:sz w:val="20"/>
          <w:lang w:eastAsia="en-AU"/>
        </w:rPr>
        <w:t xml:space="preserve">have not been fully performed as at </w:t>
      </w:r>
      <w:r w:rsidR="000239BF">
        <w:rPr>
          <w:rFonts w:ascii="Calibri" w:hAnsi="Calibri" w:cs="Calibri"/>
          <w:color w:val="000000"/>
          <w:sz w:val="20"/>
          <w:lang w:eastAsia="en-AU"/>
        </w:rPr>
        <w:t>31 December 2021</w:t>
      </w:r>
      <w:r w:rsidRPr="00766866">
        <w:rPr>
          <w:rFonts w:ascii="Calibri" w:hAnsi="Calibri" w:cs="Calibri"/>
          <w:color w:val="000000"/>
          <w:sz w:val="20"/>
          <w:lang w:eastAsia="en-AU"/>
        </w:rPr>
        <w:t xml:space="preserve">; and/or </w:t>
      </w:r>
    </w:p>
    <w:p w14:paraId="2C22125D" w14:textId="3D9EE1A2" w:rsidR="000C675D" w:rsidRPr="00766866" w:rsidRDefault="000C675D" w:rsidP="000C675D">
      <w:pPr>
        <w:pStyle w:val="ListParagraph"/>
        <w:numPr>
          <w:ilvl w:val="0"/>
          <w:numId w:val="14"/>
        </w:numPr>
        <w:spacing w:line="276" w:lineRule="auto"/>
        <w:jc w:val="left"/>
        <w:rPr>
          <w:rFonts w:ascii="Calibri" w:hAnsi="Calibri" w:cs="Calibri"/>
          <w:color w:val="000000"/>
          <w:sz w:val="20"/>
          <w:lang w:eastAsia="en-AU"/>
        </w:rPr>
      </w:pPr>
      <w:r w:rsidRPr="00766866">
        <w:rPr>
          <w:rFonts w:ascii="Calibri" w:hAnsi="Calibri" w:cs="Calibri"/>
          <w:color w:val="000000"/>
          <w:sz w:val="20"/>
          <w:lang w:eastAsia="en-AU"/>
        </w:rPr>
        <w:t xml:space="preserve">have been entered into during the 12 months prior to </w:t>
      </w:r>
      <w:r w:rsidR="000239BF">
        <w:rPr>
          <w:rFonts w:ascii="Calibri" w:hAnsi="Calibri" w:cs="Calibri"/>
          <w:color w:val="000000"/>
          <w:sz w:val="20"/>
          <w:lang w:eastAsia="en-AU"/>
        </w:rPr>
        <w:t>31 December 2021</w:t>
      </w:r>
      <w:r w:rsidRPr="00766866">
        <w:rPr>
          <w:rFonts w:ascii="Calibri" w:hAnsi="Calibri" w:cs="Calibri"/>
          <w:color w:val="000000"/>
          <w:sz w:val="20"/>
          <w:lang w:eastAsia="en-AU"/>
        </w:rPr>
        <w:t>.</w:t>
      </w:r>
    </w:p>
    <w:p w14:paraId="32275533" w14:textId="77777777" w:rsidR="000C675D" w:rsidRPr="00766866" w:rsidRDefault="000C675D" w:rsidP="000C675D">
      <w:pPr>
        <w:rPr>
          <w:color w:val="000000"/>
          <w:sz w:val="20"/>
          <w:szCs w:val="20"/>
          <w:lang w:eastAsia="en-AU"/>
        </w:rPr>
      </w:pPr>
    </w:p>
    <w:p w14:paraId="29FC5015" w14:textId="77777777" w:rsidR="000C675D" w:rsidRPr="00766866" w:rsidRDefault="000C675D" w:rsidP="000C675D">
      <w:pPr>
        <w:rPr>
          <w:color w:val="000000"/>
          <w:sz w:val="20"/>
          <w:szCs w:val="20"/>
          <w:lang w:eastAsia="en-AU"/>
        </w:rPr>
      </w:pPr>
      <w:r w:rsidRPr="00766866">
        <w:rPr>
          <w:color w:val="000000"/>
          <w:sz w:val="20"/>
          <w:szCs w:val="20"/>
          <w:lang w:eastAsia="en-AU"/>
        </w:rPr>
        <w:t>The contracts listed contain confidentiality provisions of a general nature that are designed to protect the confidential information of the parties that may be obtained or generated in carrying out the contract. The reasons for including such clauses include:</w:t>
      </w:r>
    </w:p>
    <w:p w14:paraId="4F990534" w14:textId="77777777" w:rsidR="000C675D" w:rsidRPr="00766866" w:rsidRDefault="000C675D" w:rsidP="000C675D">
      <w:pPr>
        <w:pStyle w:val="ListParagraph"/>
        <w:numPr>
          <w:ilvl w:val="0"/>
          <w:numId w:val="13"/>
        </w:numPr>
        <w:spacing w:line="276" w:lineRule="auto"/>
        <w:jc w:val="left"/>
        <w:rPr>
          <w:rFonts w:ascii="Calibri" w:hAnsi="Calibri" w:cs="Calibri"/>
          <w:color w:val="000000"/>
          <w:sz w:val="20"/>
          <w:lang w:eastAsia="en-AU"/>
        </w:rPr>
      </w:pPr>
      <w:r w:rsidRPr="00766866">
        <w:rPr>
          <w:rFonts w:ascii="Calibri" w:hAnsi="Calibri" w:cs="Calibri"/>
          <w:color w:val="000000"/>
          <w:sz w:val="20"/>
          <w:lang w:eastAsia="en-AU"/>
        </w:rPr>
        <w:t>ordinary commercial prudence that requires protection of trade secrets, proprietary information and the like; and/or</w:t>
      </w:r>
    </w:p>
    <w:p w14:paraId="3C6971FC" w14:textId="77777777" w:rsidR="000C675D" w:rsidRPr="00766866" w:rsidRDefault="000C675D" w:rsidP="000C675D">
      <w:pPr>
        <w:pStyle w:val="ListParagraph"/>
        <w:numPr>
          <w:ilvl w:val="0"/>
          <w:numId w:val="13"/>
        </w:numPr>
        <w:spacing w:line="276" w:lineRule="auto"/>
        <w:jc w:val="left"/>
        <w:rPr>
          <w:rFonts w:ascii="Calibri" w:hAnsi="Calibri" w:cs="Calibri"/>
          <w:color w:val="000000"/>
          <w:sz w:val="20"/>
          <w:lang w:eastAsia="en-AU"/>
        </w:rPr>
      </w:pPr>
      <w:r w:rsidRPr="00766866">
        <w:rPr>
          <w:rFonts w:ascii="Calibri" w:hAnsi="Calibri" w:cs="Calibri"/>
          <w:color w:val="000000"/>
          <w:sz w:val="20"/>
          <w:lang w:eastAsia="en-AU"/>
        </w:rPr>
        <w:t>protection of other Commonwealth material and personal information</w:t>
      </w:r>
    </w:p>
    <w:p w14:paraId="380ADC0A" w14:textId="56B8C37E" w:rsidR="00CF3C88" w:rsidRDefault="00CF3C88" w:rsidP="000C675D"/>
    <w:tbl>
      <w:tblPr>
        <w:tblW w:w="15891" w:type="dxa"/>
        <w:tblInd w:w="-380" w:type="dxa"/>
        <w:tblLook w:val="04A0" w:firstRow="1" w:lastRow="0" w:firstColumn="1" w:lastColumn="0" w:noHBand="0" w:noVBand="1"/>
      </w:tblPr>
      <w:tblGrid>
        <w:gridCol w:w="3730"/>
        <w:gridCol w:w="3685"/>
        <w:gridCol w:w="1380"/>
        <w:gridCol w:w="1313"/>
        <w:gridCol w:w="1276"/>
        <w:gridCol w:w="1672"/>
        <w:gridCol w:w="1588"/>
        <w:gridCol w:w="1247"/>
      </w:tblGrid>
      <w:tr w:rsidR="000C675D" w:rsidRPr="00CE24EA" w14:paraId="2AA5BEB2" w14:textId="77777777" w:rsidTr="000C675D">
        <w:trPr>
          <w:trHeight w:val="1251"/>
        </w:trPr>
        <w:tc>
          <w:tcPr>
            <w:tcW w:w="3730" w:type="dxa"/>
            <w:tcBorders>
              <w:top w:val="single" w:sz="4" w:space="0" w:color="000000"/>
              <w:left w:val="single" w:sz="4" w:space="0" w:color="000000"/>
              <w:right w:val="single" w:sz="4" w:space="0" w:color="000000"/>
            </w:tcBorders>
            <w:shd w:val="clear" w:color="BFBFBF" w:fill="BFBFBF"/>
            <w:hideMark/>
          </w:tcPr>
          <w:p w14:paraId="14515D2B" w14:textId="77777777" w:rsidR="000C675D" w:rsidRPr="00CE24EA" w:rsidRDefault="000C675D" w:rsidP="0072308A">
            <w:pPr>
              <w:jc w:val="center"/>
              <w:rPr>
                <w:b/>
                <w:bCs/>
                <w:color w:val="000000"/>
                <w:sz w:val="16"/>
                <w:szCs w:val="16"/>
                <w:lang w:eastAsia="en-AU"/>
              </w:rPr>
            </w:pPr>
            <w:r w:rsidRPr="00CE24EA">
              <w:rPr>
                <w:b/>
                <w:bCs/>
                <w:color w:val="000000"/>
                <w:sz w:val="16"/>
                <w:szCs w:val="16"/>
                <w:lang w:eastAsia="en-AU"/>
              </w:rPr>
              <w:t>CONTRACTOR</w:t>
            </w:r>
          </w:p>
        </w:tc>
        <w:tc>
          <w:tcPr>
            <w:tcW w:w="3685" w:type="dxa"/>
            <w:tcBorders>
              <w:top w:val="single" w:sz="4" w:space="0" w:color="000000"/>
              <w:left w:val="nil"/>
              <w:right w:val="single" w:sz="4" w:space="0" w:color="000000"/>
            </w:tcBorders>
            <w:shd w:val="clear" w:color="BFBFBF" w:fill="BFBFBF"/>
            <w:hideMark/>
          </w:tcPr>
          <w:p w14:paraId="106FF61E" w14:textId="77777777" w:rsidR="000C675D" w:rsidRPr="00CE24EA" w:rsidRDefault="000C675D" w:rsidP="0072308A">
            <w:pPr>
              <w:jc w:val="center"/>
              <w:rPr>
                <w:b/>
                <w:bCs/>
                <w:color w:val="000000"/>
                <w:sz w:val="16"/>
                <w:szCs w:val="16"/>
                <w:lang w:eastAsia="en-AU"/>
              </w:rPr>
            </w:pPr>
            <w:r w:rsidRPr="00CE24EA">
              <w:rPr>
                <w:b/>
                <w:bCs/>
                <w:color w:val="000000"/>
                <w:sz w:val="16"/>
                <w:szCs w:val="16"/>
                <w:lang w:eastAsia="en-AU"/>
              </w:rPr>
              <w:t>Subject Matter</w:t>
            </w:r>
          </w:p>
        </w:tc>
        <w:tc>
          <w:tcPr>
            <w:tcW w:w="1380" w:type="dxa"/>
            <w:tcBorders>
              <w:top w:val="single" w:sz="4" w:space="0" w:color="000000"/>
              <w:left w:val="nil"/>
              <w:right w:val="single" w:sz="4" w:space="0" w:color="000000"/>
            </w:tcBorders>
            <w:shd w:val="clear" w:color="BFBFBF" w:fill="BFBFBF"/>
            <w:hideMark/>
          </w:tcPr>
          <w:p w14:paraId="324198EB" w14:textId="77777777" w:rsidR="000C675D" w:rsidRPr="00CE24EA" w:rsidRDefault="000C675D" w:rsidP="0072308A">
            <w:pPr>
              <w:jc w:val="center"/>
              <w:rPr>
                <w:b/>
                <w:bCs/>
                <w:color w:val="000000"/>
                <w:sz w:val="16"/>
                <w:szCs w:val="16"/>
                <w:lang w:eastAsia="en-AU"/>
              </w:rPr>
            </w:pPr>
            <w:r w:rsidRPr="00CE24EA">
              <w:rPr>
                <w:b/>
                <w:bCs/>
                <w:color w:val="000000"/>
                <w:sz w:val="16"/>
                <w:szCs w:val="16"/>
                <w:lang w:eastAsia="en-AU"/>
              </w:rPr>
              <w:t>Amount of Consideration ($)</w:t>
            </w:r>
          </w:p>
        </w:tc>
        <w:tc>
          <w:tcPr>
            <w:tcW w:w="1313" w:type="dxa"/>
            <w:tcBorders>
              <w:top w:val="single" w:sz="4" w:space="0" w:color="000000"/>
              <w:left w:val="nil"/>
              <w:right w:val="single" w:sz="4" w:space="0" w:color="000000"/>
            </w:tcBorders>
            <w:shd w:val="clear" w:color="BFBFBF" w:fill="BFBFBF"/>
            <w:hideMark/>
          </w:tcPr>
          <w:p w14:paraId="199435CE" w14:textId="77777777" w:rsidR="000C675D" w:rsidRPr="00CE24EA" w:rsidRDefault="000C675D" w:rsidP="0072308A">
            <w:pPr>
              <w:jc w:val="center"/>
              <w:rPr>
                <w:b/>
                <w:bCs/>
                <w:color w:val="000000"/>
                <w:sz w:val="16"/>
                <w:szCs w:val="16"/>
                <w:lang w:eastAsia="en-AU"/>
              </w:rPr>
            </w:pPr>
            <w:r w:rsidRPr="00CE24EA">
              <w:rPr>
                <w:b/>
                <w:bCs/>
                <w:color w:val="000000"/>
                <w:sz w:val="16"/>
                <w:szCs w:val="16"/>
                <w:lang w:eastAsia="en-AU"/>
              </w:rPr>
              <w:t>Commencement Date</w:t>
            </w:r>
          </w:p>
        </w:tc>
        <w:tc>
          <w:tcPr>
            <w:tcW w:w="1276" w:type="dxa"/>
            <w:tcBorders>
              <w:top w:val="single" w:sz="4" w:space="0" w:color="000000"/>
              <w:left w:val="nil"/>
              <w:right w:val="single" w:sz="4" w:space="0" w:color="000000"/>
            </w:tcBorders>
            <w:shd w:val="clear" w:color="BFBFBF" w:fill="BFBFBF"/>
            <w:hideMark/>
          </w:tcPr>
          <w:p w14:paraId="65E0EFC8" w14:textId="77777777" w:rsidR="000C675D" w:rsidRPr="00CE24EA" w:rsidRDefault="000C675D" w:rsidP="0072308A">
            <w:pPr>
              <w:jc w:val="center"/>
              <w:rPr>
                <w:b/>
                <w:bCs/>
                <w:color w:val="000000"/>
                <w:sz w:val="16"/>
                <w:szCs w:val="16"/>
                <w:lang w:eastAsia="en-AU"/>
              </w:rPr>
            </w:pPr>
            <w:r w:rsidRPr="00CE24EA">
              <w:rPr>
                <w:b/>
                <w:bCs/>
                <w:color w:val="000000"/>
                <w:sz w:val="16"/>
                <w:szCs w:val="16"/>
                <w:lang w:eastAsia="en-AU"/>
              </w:rPr>
              <w:t>Anticipated End Date</w:t>
            </w:r>
          </w:p>
        </w:tc>
        <w:tc>
          <w:tcPr>
            <w:tcW w:w="1672" w:type="dxa"/>
            <w:tcBorders>
              <w:top w:val="single" w:sz="4" w:space="0" w:color="000000"/>
              <w:left w:val="nil"/>
              <w:right w:val="single" w:sz="4" w:space="0" w:color="000000"/>
            </w:tcBorders>
            <w:shd w:val="clear" w:color="BFBFBF" w:fill="BFBFBF"/>
            <w:hideMark/>
          </w:tcPr>
          <w:p w14:paraId="015BC498" w14:textId="77777777" w:rsidR="000C675D" w:rsidRPr="00CE24EA" w:rsidRDefault="000C675D" w:rsidP="0072308A">
            <w:pPr>
              <w:jc w:val="center"/>
              <w:rPr>
                <w:b/>
                <w:bCs/>
                <w:color w:val="000000"/>
                <w:sz w:val="16"/>
                <w:szCs w:val="16"/>
                <w:lang w:eastAsia="en-AU"/>
              </w:rPr>
            </w:pPr>
            <w:r w:rsidRPr="00CE24EA">
              <w:rPr>
                <w:b/>
                <w:bCs/>
                <w:color w:val="000000"/>
                <w:sz w:val="16"/>
                <w:szCs w:val="16"/>
                <w:lang w:eastAsia="en-AU"/>
              </w:rPr>
              <w:t>Whether Contract Contains Provisions Requiring the Parties to Maintain Confidentiality of any of its Provisions (Y/N)</w:t>
            </w:r>
          </w:p>
        </w:tc>
        <w:tc>
          <w:tcPr>
            <w:tcW w:w="1588" w:type="dxa"/>
            <w:tcBorders>
              <w:top w:val="single" w:sz="4" w:space="0" w:color="000000"/>
              <w:left w:val="nil"/>
              <w:right w:val="single" w:sz="4" w:space="0" w:color="000000"/>
            </w:tcBorders>
            <w:shd w:val="clear" w:color="BFBFBF" w:fill="BFBFBF"/>
            <w:hideMark/>
          </w:tcPr>
          <w:p w14:paraId="3891B524" w14:textId="77777777" w:rsidR="000C675D" w:rsidRPr="00CE24EA" w:rsidRDefault="000C675D" w:rsidP="0072308A">
            <w:pPr>
              <w:jc w:val="center"/>
              <w:rPr>
                <w:b/>
                <w:bCs/>
                <w:color w:val="000000"/>
                <w:sz w:val="16"/>
                <w:szCs w:val="16"/>
                <w:lang w:eastAsia="en-AU"/>
              </w:rPr>
            </w:pPr>
            <w:r w:rsidRPr="00CE24EA">
              <w:rPr>
                <w:b/>
                <w:bCs/>
                <w:color w:val="000000"/>
                <w:sz w:val="16"/>
                <w:szCs w:val="16"/>
                <w:lang w:eastAsia="en-AU"/>
              </w:rPr>
              <w:t>Whether the Contract Contains 'Other Requirements of Confidentiality' (Y/N)</w:t>
            </w:r>
          </w:p>
        </w:tc>
        <w:tc>
          <w:tcPr>
            <w:tcW w:w="1247" w:type="dxa"/>
            <w:tcBorders>
              <w:top w:val="single" w:sz="4" w:space="0" w:color="000000"/>
              <w:left w:val="nil"/>
              <w:right w:val="single" w:sz="4" w:space="0" w:color="000000"/>
            </w:tcBorders>
            <w:shd w:val="clear" w:color="BFBFBF" w:fill="BFBFBF"/>
            <w:hideMark/>
          </w:tcPr>
          <w:p w14:paraId="48DEE937" w14:textId="77777777" w:rsidR="000C675D" w:rsidRPr="00CE24EA" w:rsidRDefault="000C675D" w:rsidP="0072308A">
            <w:pPr>
              <w:jc w:val="center"/>
              <w:rPr>
                <w:b/>
                <w:bCs/>
                <w:color w:val="000000"/>
                <w:sz w:val="16"/>
                <w:szCs w:val="16"/>
                <w:lang w:eastAsia="en-AU"/>
              </w:rPr>
            </w:pPr>
            <w:r w:rsidRPr="00CE24EA">
              <w:rPr>
                <w:b/>
                <w:bCs/>
                <w:color w:val="000000"/>
                <w:sz w:val="16"/>
                <w:szCs w:val="16"/>
                <w:lang w:eastAsia="en-AU"/>
              </w:rPr>
              <w:t>Reasons for Confidentiality</w:t>
            </w:r>
          </w:p>
        </w:tc>
      </w:tr>
      <w:tr w:rsidR="00B36141" w:rsidRPr="00662460" w14:paraId="57D88D9B" w14:textId="77777777" w:rsidTr="00BE04C9">
        <w:trPr>
          <w:trHeight w:val="544"/>
        </w:trPr>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BE13BB8" w14:textId="523692E3" w:rsidR="00B36141" w:rsidRPr="00387A37" w:rsidRDefault="00B36141" w:rsidP="0072308A">
            <w:pPr>
              <w:rPr>
                <w:sz w:val="18"/>
                <w:szCs w:val="18"/>
              </w:rPr>
            </w:pPr>
            <w:r w:rsidRPr="00112F05">
              <w:rPr>
                <w:rFonts w:eastAsia="Times New Roman"/>
                <w:sz w:val="18"/>
                <w:szCs w:val="18"/>
                <w:lang w:eastAsia="en-AU"/>
              </w:rPr>
              <w:t>Tetra Tech Coffey Pty Ltd</w:t>
            </w:r>
          </w:p>
        </w:tc>
        <w:tc>
          <w:tcPr>
            <w:tcW w:w="3685" w:type="dxa"/>
            <w:tcBorders>
              <w:top w:val="single" w:sz="4" w:space="0" w:color="auto"/>
              <w:left w:val="nil"/>
              <w:bottom w:val="single" w:sz="4" w:space="0" w:color="auto"/>
              <w:right w:val="single" w:sz="4" w:space="0" w:color="auto"/>
            </w:tcBorders>
            <w:shd w:val="clear" w:color="auto" w:fill="auto"/>
            <w:vAlign w:val="center"/>
          </w:tcPr>
          <w:p w14:paraId="6ABCDBD5" w14:textId="64A8DC39" w:rsidR="00B36141" w:rsidRPr="00E43CFC" w:rsidRDefault="00173032" w:rsidP="0072308A">
            <w:pPr>
              <w:rPr>
                <w:sz w:val="18"/>
                <w:szCs w:val="18"/>
              </w:rPr>
            </w:pPr>
            <w:r w:rsidRPr="00112F05">
              <w:rPr>
                <w:rFonts w:eastAsia="Times New Roman"/>
                <w:sz w:val="18"/>
                <w:szCs w:val="18"/>
                <w:lang w:eastAsia="en-AU"/>
              </w:rPr>
              <w:t>National residential asbestos heatmap</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6A4A59FC" w14:textId="6E169FCC" w:rsidR="00B36141" w:rsidRPr="005E5FC2" w:rsidRDefault="00173032" w:rsidP="005E5FC2">
            <w:pPr>
              <w:rPr>
                <w:sz w:val="18"/>
                <w:szCs w:val="18"/>
              </w:rPr>
            </w:pPr>
            <w:r w:rsidRPr="00112F05">
              <w:rPr>
                <w:rFonts w:eastAsia="Times New Roman"/>
                <w:sz w:val="18"/>
                <w:szCs w:val="18"/>
                <w:lang w:eastAsia="en-AU"/>
              </w:rPr>
              <w:t>$249,992.00</w:t>
            </w:r>
          </w:p>
        </w:tc>
        <w:tc>
          <w:tcPr>
            <w:tcW w:w="1313" w:type="dxa"/>
            <w:tcBorders>
              <w:top w:val="single" w:sz="4" w:space="0" w:color="auto"/>
              <w:left w:val="nil"/>
              <w:bottom w:val="single" w:sz="4" w:space="0" w:color="auto"/>
              <w:right w:val="single" w:sz="4" w:space="0" w:color="auto"/>
            </w:tcBorders>
            <w:shd w:val="clear" w:color="auto" w:fill="auto"/>
            <w:noWrap/>
            <w:vAlign w:val="center"/>
          </w:tcPr>
          <w:p w14:paraId="416B100F" w14:textId="534A3B6C" w:rsidR="00A37BB8" w:rsidRDefault="00173032" w:rsidP="005E5FC2">
            <w:pPr>
              <w:rPr>
                <w:sz w:val="18"/>
                <w:szCs w:val="18"/>
              </w:rPr>
            </w:pPr>
            <w:r>
              <w:rPr>
                <w:sz w:val="18"/>
                <w:szCs w:val="18"/>
              </w:rPr>
              <w:t>12</w:t>
            </w:r>
            <w:r w:rsidR="00A37BB8">
              <w:rPr>
                <w:sz w:val="18"/>
                <w:szCs w:val="18"/>
              </w:rPr>
              <w:t>-</w:t>
            </w:r>
            <w:r>
              <w:rPr>
                <w:sz w:val="18"/>
                <w:szCs w:val="18"/>
              </w:rPr>
              <w:t>Nov</w:t>
            </w:r>
            <w:r w:rsidR="00A37BB8">
              <w:rPr>
                <w:sz w:val="18"/>
                <w:szCs w:val="18"/>
              </w:rPr>
              <w:t>-2021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53DE6C" w14:textId="4E86D736" w:rsidR="00B36141" w:rsidRPr="005E5FC2" w:rsidRDefault="00C64747" w:rsidP="005E5FC2">
            <w:pPr>
              <w:rPr>
                <w:sz w:val="18"/>
                <w:szCs w:val="18"/>
              </w:rPr>
            </w:pPr>
            <w:r>
              <w:rPr>
                <w:sz w:val="18"/>
                <w:szCs w:val="18"/>
              </w:rPr>
              <w:t>10-</w:t>
            </w:r>
            <w:r w:rsidR="00150435">
              <w:rPr>
                <w:sz w:val="18"/>
                <w:szCs w:val="18"/>
              </w:rPr>
              <w:t>Jun-2022</w:t>
            </w:r>
          </w:p>
        </w:tc>
        <w:tc>
          <w:tcPr>
            <w:tcW w:w="1672" w:type="dxa"/>
            <w:tcBorders>
              <w:top w:val="single" w:sz="4" w:space="0" w:color="auto"/>
              <w:left w:val="nil"/>
              <w:bottom w:val="single" w:sz="4" w:space="0" w:color="auto"/>
              <w:right w:val="single" w:sz="4" w:space="0" w:color="auto"/>
            </w:tcBorders>
            <w:shd w:val="clear" w:color="auto" w:fill="auto"/>
            <w:noWrap/>
            <w:vAlign w:val="center"/>
          </w:tcPr>
          <w:p w14:paraId="0388C050" w14:textId="25FB20B0" w:rsidR="00B36141" w:rsidRPr="00387A37" w:rsidRDefault="00150435" w:rsidP="0072308A">
            <w:pPr>
              <w:jc w:val="center"/>
              <w:rPr>
                <w:sz w:val="18"/>
                <w:szCs w:val="18"/>
              </w:rPr>
            </w:pPr>
            <w:r>
              <w:rPr>
                <w:sz w:val="18"/>
                <w:szCs w:val="18"/>
              </w:rPr>
              <w:t>N</w:t>
            </w:r>
          </w:p>
        </w:tc>
        <w:tc>
          <w:tcPr>
            <w:tcW w:w="1588" w:type="dxa"/>
            <w:tcBorders>
              <w:top w:val="single" w:sz="4" w:space="0" w:color="auto"/>
              <w:left w:val="nil"/>
              <w:bottom w:val="single" w:sz="4" w:space="0" w:color="auto"/>
              <w:right w:val="single" w:sz="4" w:space="0" w:color="auto"/>
            </w:tcBorders>
            <w:shd w:val="clear" w:color="auto" w:fill="auto"/>
            <w:noWrap/>
            <w:vAlign w:val="center"/>
          </w:tcPr>
          <w:p w14:paraId="30465FD5" w14:textId="2E21D342" w:rsidR="00B36141" w:rsidRPr="00387A37" w:rsidRDefault="00150435" w:rsidP="0072308A">
            <w:pPr>
              <w:jc w:val="center"/>
              <w:rPr>
                <w:sz w:val="18"/>
                <w:szCs w:val="18"/>
              </w:rPr>
            </w:pPr>
            <w:r>
              <w:rPr>
                <w:sz w:val="18"/>
                <w:szCs w:val="18"/>
              </w:rPr>
              <w:t>N</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16D72CA6" w14:textId="630FB2D8" w:rsidR="00B36141" w:rsidRPr="00387A37" w:rsidRDefault="00150435" w:rsidP="0072308A">
            <w:pPr>
              <w:jc w:val="center"/>
              <w:rPr>
                <w:sz w:val="18"/>
                <w:szCs w:val="18"/>
              </w:rPr>
            </w:pPr>
            <w:r>
              <w:rPr>
                <w:sz w:val="18"/>
                <w:szCs w:val="18"/>
              </w:rPr>
              <w:t>N/A</w:t>
            </w:r>
          </w:p>
        </w:tc>
      </w:tr>
      <w:tr w:rsidR="00A121EE" w:rsidRPr="00662460" w14:paraId="4BB7EA3D" w14:textId="77777777" w:rsidTr="00BE04C9">
        <w:trPr>
          <w:trHeight w:val="544"/>
        </w:trPr>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6F1DDB69" w14:textId="59DBA0DC" w:rsidR="00A121EE" w:rsidRPr="00F82129" w:rsidRDefault="00F82129" w:rsidP="0072308A">
            <w:r w:rsidRPr="00387A37">
              <w:rPr>
                <w:sz w:val="18"/>
                <w:szCs w:val="18"/>
              </w:rPr>
              <w:t>UACS Consulting Pty Ltd</w:t>
            </w:r>
            <w:r w:rsidR="0023657E">
              <w:rPr>
                <w:sz w:val="18"/>
                <w:szCs w:val="18"/>
              </w:rPr>
              <w:t xml:space="preserve"> </w:t>
            </w:r>
          </w:p>
        </w:tc>
        <w:tc>
          <w:tcPr>
            <w:tcW w:w="3685" w:type="dxa"/>
            <w:tcBorders>
              <w:top w:val="single" w:sz="4" w:space="0" w:color="auto"/>
              <w:left w:val="nil"/>
              <w:bottom w:val="single" w:sz="4" w:space="0" w:color="auto"/>
              <w:right w:val="single" w:sz="4" w:space="0" w:color="auto"/>
            </w:tcBorders>
            <w:shd w:val="clear" w:color="auto" w:fill="auto"/>
            <w:vAlign w:val="center"/>
          </w:tcPr>
          <w:p w14:paraId="67773A69" w14:textId="398A6585" w:rsidR="00A121EE" w:rsidRDefault="00917876" w:rsidP="0072308A">
            <w:pPr>
              <w:rPr>
                <w:rFonts w:ascii="Arial" w:hAnsi="Arial" w:cs="Arial"/>
                <w:color w:val="213242"/>
                <w:shd w:val="clear" w:color="auto" w:fill="FAF6DE"/>
              </w:rPr>
            </w:pPr>
            <w:r w:rsidRPr="00E43CFC">
              <w:rPr>
                <w:sz w:val="18"/>
                <w:szCs w:val="18"/>
              </w:rPr>
              <w:t xml:space="preserve">National </w:t>
            </w:r>
            <w:r w:rsidR="00E43CFC" w:rsidRPr="00E43CFC">
              <w:rPr>
                <w:sz w:val="18"/>
                <w:szCs w:val="18"/>
              </w:rPr>
              <w:t>r</w:t>
            </w:r>
            <w:r w:rsidRPr="00E43CFC">
              <w:rPr>
                <w:sz w:val="18"/>
                <w:szCs w:val="18"/>
              </w:rPr>
              <w:t xml:space="preserve">esidential </w:t>
            </w:r>
            <w:r w:rsidR="00E43CFC" w:rsidRPr="00E43CFC">
              <w:rPr>
                <w:sz w:val="18"/>
                <w:szCs w:val="18"/>
              </w:rPr>
              <w:t>asbestos roo</w:t>
            </w:r>
            <w:r w:rsidR="00610F26">
              <w:rPr>
                <w:sz w:val="18"/>
                <w:szCs w:val="18"/>
              </w:rPr>
              <w:t>f</w:t>
            </w:r>
            <w:r w:rsidR="00E43CFC" w:rsidRPr="00E43CFC">
              <w:rPr>
                <w:sz w:val="18"/>
                <w:szCs w:val="18"/>
              </w:rPr>
              <w:t xml:space="preserve"> heatmap</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6408C44E" w14:textId="34CB516A" w:rsidR="00A121EE" w:rsidRPr="005E5FC2" w:rsidRDefault="00610F26" w:rsidP="005E5FC2">
            <w:pPr>
              <w:rPr>
                <w:sz w:val="18"/>
                <w:szCs w:val="18"/>
              </w:rPr>
            </w:pPr>
            <w:r w:rsidRPr="005E5FC2">
              <w:rPr>
                <w:sz w:val="18"/>
                <w:szCs w:val="18"/>
              </w:rPr>
              <w:t>$219,948.10</w:t>
            </w:r>
          </w:p>
        </w:tc>
        <w:tc>
          <w:tcPr>
            <w:tcW w:w="1313" w:type="dxa"/>
            <w:tcBorders>
              <w:top w:val="single" w:sz="4" w:space="0" w:color="auto"/>
              <w:left w:val="nil"/>
              <w:bottom w:val="single" w:sz="4" w:space="0" w:color="auto"/>
              <w:right w:val="single" w:sz="4" w:space="0" w:color="auto"/>
            </w:tcBorders>
            <w:shd w:val="clear" w:color="auto" w:fill="auto"/>
            <w:noWrap/>
            <w:vAlign w:val="center"/>
          </w:tcPr>
          <w:p w14:paraId="3F5FCF55" w14:textId="55769FBD" w:rsidR="00A121EE" w:rsidRPr="009044A3" w:rsidRDefault="00577B06" w:rsidP="005E5FC2">
            <w:r>
              <w:rPr>
                <w:sz w:val="18"/>
                <w:szCs w:val="18"/>
              </w:rPr>
              <w:t>15</w:t>
            </w:r>
            <w:r w:rsidR="009044A3" w:rsidRPr="009044A3">
              <w:rPr>
                <w:sz w:val="18"/>
                <w:szCs w:val="18"/>
              </w:rPr>
              <w:t>-</w:t>
            </w:r>
            <w:r>
              <w:rPr>
                <w:sz w:val="18"/>
                <w:szCs w:val="18"/>
              </w:rPr>
              <w:t>Mar</w:t>
            </w:r>
            <w:r w:rsidR="009044A3" w:rsidRPr="009044A3">
              <w:rPr>
                <w:sz w:val="18"/>
                <w:szCs w:val="18"/>
              </w:rPr>
              <w:t>-2021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A1D867" w14:textId="6933296C" w:rsidR="00A121EE" w:rsidRPr="005E5FC2" w:rsidRDefault="00F82129" w:rsidP="005E5FC2">
            <w:pPr>
              <w:rPr>
                <w:sz w:val="18"/>
                <w:szCs w:val="18"/>
              </w:rPr>
            </w:pPr>
            <w:r w:rsidRPr="005E5FC2">
              <w:rPr>
                <w:sz w:val="18"/>
                <w:szCs w:val="18"/>
              </w:rPr>
              <w:t>30-Jun-2021</w:t>
            </w:r>
          </w:p>
        </w:tc>
        <w:tc>
          <w:tcPr>
            <w:tcW w:w="1672" w:type="dxa"/>
            <w:tcBorders>
              <w:top w:val="single" w:sz="4" w:space="0" w:color="auto"/>
              <w:left w:val="nil"/>
              <w:bottom w:val="single" w:sz="4" w:space="0" w:color="auto"/>
              <w:right w:val="single" w:sz="4" w:space="0" w:color="auto"/>
            </w:tcBorders>
            <w:shd w:val="clear" w:color="auto" w:fill="auto"/>
            <w:noWrap/>
            <w:vAlign w:val="center"/>
          </w:tcPr>
          <w:p w14:paraId="30F7D02B" w14:textId="5843F69C" w:rsidR="00A121EE" w:rsidRPr="00387A37" w:rsidRDefault="00387A37" w:rsidP="0072308A">
            <w:pPr>
              <w:jc w:val="center"/>
              <w:rPr>
                <w:sz w:val="18"/>
                <w:szCs w:val="18"/>
              </w:rPr>
            </w:pPr>
            <w:r w:rsidRPr="00387A37">
              <w:rPr>
                <w:sz w:val="18"/>
                <w:szCs w:val="18"/>
              </w:rPr>
              <w:t>N</w:t>
            </w:r>
          </w:p>
        </w:tc>
        <w:tc>
          <w:tcPr>
            <w:tcW w:w="1588" w:type="dxa"/>
            <w:tcBorders>
              <w:top w:val="single" w:sz="4" w:space="0" w:color="auto"/>
              <w:left w:val="nil"/>
              <w:bottom w:val="single" w:sz="4" w:space="0" w:color="auto"/>
              <w:right w:val="single" w:sz="4" w:space="0" w:color="auto"/>
            </w:tcBorders>
            <w:shd w:val="clear" w:color="auto" w:fill="auto"/>
            <w:noWrap/>
            <w:vAlign w:val="center"/>
          </w:tcPr>
          <w:p w14:paraId="2DF9D8EA" w14:textId="4258A699" w:rsidR="00A121EE" w:rsidRPr="00387A37" w:rsidRDefault="00387A37" w:rsidP="0072308A">
            <w:pPr>
              <w:jc w:val="center"/>
              <w:rPr>
                <w:sz w:val="18"/>
                <w:szCs w:val="18"/>
              </w:rPr>
            </w:pPr>
            <w:r w:rsidRPr="00387A37">
              <w:rPr>
                <w:sz w:val="18"/>
                <w:szCs w:val="18"/>
              </w:rPr>
              <w:t>N</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650353EF" w14:textId="1D127448" w:rsidR="00A121EE" w:rsidRPr="00387A37" w:rsidRDefault="00387A37" w:rsidP="0072308A">
            <w:pPr>
              <w:jc w:val="center"/>
              <w:rPr>
                <w:sz w:val="18"/>
                <w:szCs w:val="18"/>
              </w:rPr>
            </w:pPr>
            <w:r w:rsidRPr="00387A37">
              <w:rPr>
                <w:sz w:val="18"/>
                <w:szCs w:val="18"/>
              </w:rPr>
              <w:t>N/A</w:t>
            </w:r>
          </w:p>
        </w:tc>
      </w:tr>
      <w:tr w:rsidR="00173032" w:rsidRPr="00662460" w14:paraId="22C0BA30" w14:textId="77777777" w:rsidTr="00BE04C9">
        <w:trPr>
          <w:trHeight w:val="544"/>
        </w:trPr>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2A7ACB0" w14:textId="66F6DFED" w:rsidR="00173032" w:rsidRPr="00387A37" w:rsidRDefault="005E7310" w:rsidP="0072308A">
            <w:pPr>
              <w:rPr>
                <w:sz w:val="18"/>
                <w:szCs w:val="18"/>
              </w:rPr>
            </w:pPr>
            <w:r w:rsidRPr="00112F05">
              <w:rPr>
                <w:rFonts w:eastAsia="Times New Roman"/>
                <w:sz w:val="18"/>
                <w:szCs w:val="18"/>
                <w:lang w:eastAsia="en-AU"/>
              </w:rPr>
              <w:t>Union Aid Abroad - APHEDA</w:t>
            </w:r>
          </w:p>
        </w:tc>
        <w:tc>
          <w:tcPr>
            <w:tcW w:w="3685" w:type="dxa"/>
            <w:tcBorders>
              <w:top w:val="single" w:sz="4" w:space="0" w:color="auto"/>
              <w:left w:val="nil"/>
              <w:bottom w:val="single" w:sz="4" w:space="0" w:color="auto"/>
              <w:right w:val="single" w:sz="4" w:space="0" w:color="auto"/>
            </w:tcBorders>
            <w:shd w:val="clear" w:color="auto" w:fill="auto"/>
            <w:vAlign w:val="center"/>
          </w:tcPr>
          <w:p w14:paraId="6598A6B7" w14:textId="6966CD7F" w:rsidR="00173032" w:rsidRPr="00E43CFC" w:rsidRDefault="00401B32" w:rsidP="0072308A">
            <w:pPr>
              <w:rPr>
                <w:sz w:val="18"/>
                <w:szCs w:val="18"/>
              </w:rPr>
            </w:pPr>
            <w:r w:rsidRPr="00401B32">
              <w:rPr>
                <w:sz w:val="18"/>
                <w:szCs w:val="18"/>
              </w:rPr>
              <w:t>Development and delivery of international asbestos awareness activities 2021-22</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2C409EF6" w14:textId="4E121297" w:rsidR="00173032" w:rsidRPr="005E5FC2" w:rsidRDefault="005E7310" w:rsidP="005E5FC2">
            <w:pPr>
              <w:rPr>
                <w:sz w:val="18"/>
                <w:szCs w:val="18"/>
              </w:rPr>
            </w:pPr>
            <w:r>
              <w:rPr>
                <w:rFonts w:eastAsia="Times New Roman"/>
                <w:sz w:val="18"/>
                <w:szCs w:val="18"/>
                <w:lang w:eastAsia="en-AU"/>
              </w:rPr>
              <w:t>$</w:t>
            </w:r>
            <w:r w:rsidRPr="00112F05">
              <w:rPr>
                <w:rFonts w:eastAsia="Times New Roman"/>
                <w:sz w:val="18"/>
                <w:szCs w:val="18"/>
                <w:lang w:eastAsia="en-AU"/>
              </w:rPr>
              <w:t>150,000.00</w:t>
            </w:r>
          </w:p>
        </w:tc>
        <w:tc>
          <w:tcPr>
            <w:tcW w:w="1313" w:type="dxa"/>
            <w:tcBorders>
              <w:top w:val="single" w:sz="4" w:space="0" w:color="auto"/>
              <w:left w:val="nil"/>
              <w:bottom w:val="single" w:sz="4" w:space="0" w:color="auto"/>
              <w:right w:val="single" w:sz="4" w:space="0" w:color="auto"/>
            </w:tcBorders>
            <w:shd w:val="clear" w:color="auto" w:fill="auto"/>
            <w:noWrap/>
            <w:vAlign w:val="center"/>
          </w:tcPr>
          <w:p w14:paraId="461F0D19" w14:textId="0258B2C8" w:rsidR="00173032" w:rsidRDefault="005E7310" w:rsidP="005E5FC2">
            <w:pPr>
              <w:rPr>
                <w:sz w:val="18"/>
                <w:szCs w:val="18"/>
              </w:rPr>
            </w:pPr>
            <w:r>
              <w:rPr>
                <w:sz w:val="18"/>
                <w:szCs w:val="18"/>
              </w:rPr>
              <w:t>12-Nov-2021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4647BB" w14:textId="45D677C7" w:rsidR="00173032" w:rsidRPr="005E5FC2" w:rsidRDefault="005E7310" w:rsidP="005E5FC2">
            <w:pPr>
              <w:rPr>
                <w:sz w:val="18"/>
                <w:szCs w:val="18"/>
              </w:rPr>
            </w:pPr>
            <w:r>
              <w:rPr>
                <w:sz w:val="18"/>
                <w:szCs w:val="18"/>
              </w:rPr>
              <w:t>30-Jun-2022</w:t>
            </w:r>
          </w:p>
        </w:tc>
        <w:tc>
          <w:tcPr>
            <w:tcW w:w="1672" w:type="dxa"/>
            <w:tcBorders>
              <w:top w:val="single" w:sz="4" w:space="0" w:color="auto"/>
              <w:left w:val="nil"/>
              <w:bottom w:val="single" w:sz="4" w:space="0" w:color="auto"/>
              <w:right w:val="single" w:sz="4" w:space="0" w:color="auto"/>
            </w:tcBorders>
            <w:shd w:val="clear" w:color="auto" w:fill="auto"/>
            <w:noWrap/>
            <w:vAlign w:val="center"/>
          </w:tcPr>
          <w:p w14:paraId="133AADFF" w14:textId="511C950B" w:rsidR="00173032" w:rsidRPr="00387A37" w:rsidRDefault="008C42BF" w:rsidP="0072308A">
            <w:pPr>
              <w:jc w:val="center"/>
              <w:rPr>
                <w:sz w:val="18"/>
                <w:szCs w:val="18"/>
              </w:rPr>
            </w:pPr>
            <w:r>
              <w:rPr>
                <w:sz w:val="18"/>
                <w:szCs w:val="18"/>
              </w:rPr>
              <w:t>N</w:t>
            </w:r>
          </w:p>
        </w:tc>
        <w:tc>
          <w:tcPr>
            <w:tcW w:w="1588" w:type="dxa"/>
            <w:tcBorders>
              <w:top w:val="single" w:sz="4" w:space="0" w:color="auto"/>
              <w:left w:val="nil"/>
              <w:bottom w:val="single" w:sz="4" w:space="0" w:color="auto"/>
              <w:right w:val="single" w:sz="4" w:space="0" w:color="auto"/>
            </w:tcBorders>
            <w:shd w:val="clear" w:color="auto" w:fill="auto"/>
            <w:noWrap/>
            <w:vAlign w:val="center"/>
          </w:tcPr>
          <w:p w14:paraId="4D31DA0A" w14:textId="508EAD6C" w:rsidR="00173032" w:rsidRPr="00387A37" w:rsidRDefault="008C42BF" w:rsidP="0072308A">
            <w:pPr>
              <w:jc w:val="center"/>
              <w:rPr>
                <w:sz w:val="18"/>
                <w:szCs w:val="18"/>
              </w:rPr>
            </w:pPr>
            <w:r>
              <w:rPr>
                <w:sz w:val="18"/>
                <w:szCs w:val="18"/>
              </w:rPr>
              <w:t>N</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0C8699A3" w14:textId="191431D9" w:rsidR="00173032" w:rsidRPr="00387A37" w:rsidRDefault="008C42BF" w:rsidP="0072308A">
            <w:pPr>
              <w:jc w:val="center"/>
              <w:rPr>
                <w:sz w:val="18"/>
                <w:szCs w:val="18"/>
              </w:rPr>
            </w:pPr>
            <w:r>
              <w:rPr>
                <w:sz w:val="18"/>
                <w:szCs w:val="18"/>
              </w:rPr>
              <w:t>N/A</w:t>
            </w:r>
          </w:p>
        </w:tc>
      </w:tr>
    </w:tbl>
    <w:p w14:paraId="30BDCA08" w14:textId="77777777" w:rsidR="00112F05" w:rsidRDefault="00112F05"/>
    <w:sectPr w:rsidR="00112F05" w:rsidSect="00766866">
      <w:footerReference w:type="default" r:id="rId10"/>
      <w:headerReference w:type="first" r:id="rId11"/>
      <w:footerReference w:type="first" r:id="rId12"/>
      <w:pgSz w:w="16838" w:h="11906" w:orient="landscape"/>
      <w:pgMar w:top="4111" w:right="962" w:bottom="993" w:left="851"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51FCC" w14:textId="77777777" w:rsidR="00B47884" w:rsidRDefault="00B47884" w:rsidP="005C33D0">
      <w:r>
        <w:separator/>
      </w:r>
    </w:p>
  </w:endnote>
  <w:endnote w:type="continuationSeparator" w:id="0">
    <w:p w14:paraId="127ADED0" w14:textId="77777777" w:rsidR="00B47884" w:rsidRDefault="00B47884" w:rsidP="005C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00AAB" w14:textId="77777777" w:rsidR="00C3299C" w:rsidRDefault="001E45F7" w:rsidP="005C33D0">
    <w:pPr>
      <w:pStyle w:val="Footer"/>
      <w:tabs>
        <w:tab w:val="clear" w:pos="9026"/>
      </w:tabs>
    </w:pPr>
    <w:r>
      <w:rPr>
        <w:rFonts w:cstheme="minorHAnsi"/>
        <w:color w:val="44546A" w:themeColor="text2"/>
        <w:sz w:val="18"/>
        <w:szCs w:val="18"/>
      </w:rPr>
      <w:pict w14:anchorId="4AC00AB6">
        <v:rect id="_x0000_i1025" style="width:489.05pt;height:1.5pt" o:hralign="center" o:hrstd="t" o:hrnoshade="t" o:hr="t" fillcolor="#44546a [3215]" stroked="f"/>
      </w:pict>
    </w:r>
  </w:p>
  <w:p w14:paraId="4AC00AAC" w14:textId="77777777" w:rsidR="005C33D0" w:rsidRDefault="005C33D0" w:rsidP="005C33D0">
    <w:pPr>
      <w:pStyle w:val="Footer"/>
      <w:tabs>
        <w:tab w:val="clear" w:pos="9026"/>
      </w:tabs>
    </w:pPr>
    <w:r>
      <w:t xml:space="preserve">Address: </w:t>
    </w:r>
    <w:r w:rsidRPr="00E110A1">
      <w:t>Level 10, 255 Elizabeth Street, Sydney NSW 2000</w:t>
    </w:r>
  </w:p>
  <w:p w14:paraId="4AC00AAD" w14:textId="77777777" w:rsidR="005C33D0" w:rsidRDefault="005C33D0" w:rsidP="005C33D0">
    <w:pPr>
      <w:pStyle w:val="Footer"/>
    </w:pPr>
    <w:r w:rsidRPr="00E110A1">
      <w:t xml:space="preserve">Email: </w:t>
    </w:r>
    <w:hyperlink r:id="rId1" w:history="1">
      <w:r w:rsidRPr="00E110A1">
        <w:rPr>
          <w:rStyle w:val="Hyperlink"/>
        </w:rPr>
        <w:t>enquiries@asbestossafety.gov.au</w:t>
      </w:r>
    </w:hyperlink>
    <w:r w:rsidRPr="00E110A1">
      <w:t xml:space="preserve"> </w:t>
    </w:r>
  </w:p>
  <w:p w14:paraId="4AC00AAE" w14:textId="77777777" w:rsidR="005C33D0" w:rsidRPr="00E110A1" w:rsidRDefault="005C33D0" w:rsidP="005C33D0">
    <w:pPr>
      <w:pStyle w:val="Footer"/>
    </w:pPr>
    <w:r w:rsidRPr="00E110A1">
      <w:t xml:space="preserve">Website: </w:t>
    </w:r>
    <w:hyperlink r:id="rId2" w:history="1">
      <w:r w:rsidRPr="00E110A1">
        <w:rPr>
          <w:rStyle w:val="Hyperlink"/>
        </w:rPr>
        <w:t>www.asbestossafety.gov.au</w:t>
      </w:r>
    </w:hyperlink>
  </w:p>
  <w:p w14:paraId="4AC00AAF" w14:textId="77777777" w:rsidR="005C33D0" w:rsidRDefault="005C3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00AB1" w14:textId="77777777" w:rsidR="00C3299C" w:rsidRDefault="001E45F7" w:rsidP="00C3299C">
    <w:pPr>
      <w:pStyle w:val="Footer"/>
      <w:tabs>
        <w:tab w:val="clear" w:pos="9026"/>
      </w:tabs>
    </w:pPr>
    <w:r>
      <w:rPr>
        <w:rFonts w:cstheme="minorHAnsi"/>
        <w:color w:val="44546A" w:themeColor="text2"/>
        <w:sz w:val="18"/>
        <w:szCs w:val="18"/>
      </w:rPr>
      <w:pict w14:anchorId="4AC00AB9">
        <v:rect id="_x0000_i1026" style="width:489.05pt;height:1.5pt" o:hralign="center" o:hrstd="t" o:hrnoshade="t" o:hr="t" fillcolor="#44546a [3215]" stroked="f"/>
      </w:pict>
    </w:r>
  </w:p>
  <w:p w14:paraId="4AC00AB4" w14:textId="4A34293B" w:rsidR="00C3299C" w:rsidRPr="00E110A1" w:rsidRDefault="00C3299C" w:rsidP="00690676">
    <w:pPr>
      <w:pStyle w:val="Footer"/>
      <w:tabs>
        <w:tab w:val="clear" w:pos="9026"/>
      </w:tabs>
      <w:jc w:val="center"/>
    </w:pPr>
    <w:r>
      <w:t xml:space="preserve">Address: </w:t>
    </w:r>
    <w:r w:rsidRPr="00E110A1">
      <w:t>Level 1</w:t>
    </w:r>
    <w:r w:rsidR="004A551C">
      <w:t>2</w:t>
    </w:r>
    <w:r w:rsidRPr="00E110A1">
      <w:t>, 2</w:t>
    </w:r>
    <w:r w:rsidR="00E971C2">
      <w:t>80</w:t>
    </w:r>
    <w:r w:rsidRPr="00E110A1">
      <w:t xml:space="preserve"> Elizabeth Street, Sydney NSW 2000</w:t>
    </w:r>
    <w:r w:rsidR="003C4F49">
      <w:t xml:space="preserve"> </w:t>
    </w:r>
    <w:r w:rsidR="00690676">
      <w:tab/>
    </w:r>
    <w:r w:rsidR="003C4F49">
      <w:t xml:space="preserve">    </w:t>
    </w:r>
    <w:r w:rsidRPr="00E110A1">
      <w:t xml:space="preserve">Email: </w:t>
    </w:r>
    <w:hyperlink r:id="rId1" w:history="1">
      <w:r w:rsidRPr="00E110A1">
        <w:rPr>
          <w:rStyle w:val="Hyperlink"/>
        </w:rPr>
        <w:t>enquiries@asbestossafety.gov.au</w:t>
      </w:r>
    </w:hyperlink>
    <w:r w:rsidRPr="00E110A1">
      <w:t xml:space="preserve"> </w:t>
    </w:r>
    <w:r w:rsidR="003C4F49">
      <w:t xml:space="preserve">  </w:t>
    </w:r>
    <w:r w:rsidR="00690676">
      <w:tab/>
    </w:r>
    <w:r w:rsidR="003C4F49">
      <w:t xml:space="preserve">    </w:t>
    </w:r>
    <w:r w:rsidRPr="00E110A1">
      <w:t xml:space="preserve">Website: </w:t>
    </w:r>
    <w:hyperlink r:id="rId2" w:history="1">
      <w:r w:rsidRPr="00E110A1">
        <w:rPr>
          <w:rStyle w:val="Hyperlink"/>
        </w:rPr>
        <w:t>www.asbestossafety.gov.au</w:t>
      </w:r>
    </w:hyperlink>
  </w:p>
  <w:p w14:paraId="4AC00AB5" w14:textId="77777777" w:rsidR="00C3299C" w:rsidRDefault="00C32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49718" w14:textId="77777777" w:rsidR="00B47884" w:rsidRDefault="00B47884" w:rsidP="005C33D0">
      <w:r>
        <w:separator/>
      </w:r>
    </w:p>
  </w:footnote>
  <w:footnote w:type="continuationSeparator" w:id="0">
    <w:p w14:paraId="4143707D" w14:textId="77777777" w:rsidR="00B47884" w:rsidRDefault="00B47884" w:rsidP="005C3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00AB0" w14:textId="77777777" w:rsidR="00C3299C" w:rsidRDefault="00C3299C">
    <w:pPr>
      <w:pStyle w:val="Header"/>
    </w:pPr>
    <w:r>
      <w:rPr>
        <w:noProof/>
        <w:lang w:eastAsia="en-AU"/>
      </w:rPr>
      <w:drawing>
        <wp:anchor distT="0" distB="0" distL="114300" distR="114300" simplePos="0" relativeHeight="251658240" behindDoc="1" locked="0" layoutInCell="1" allowOverlap="0" wp14:anchorId="4AC00AB7" wp14:editId="184E6663">
          <wp:simplePos x="0" y="0"/>
          <wp:positionH relativeFrom="column">
            <wp:posOffset>-511810</wp:posOffset>
          </wp:positionH>
          <wp:positionV relativeFrom="paragraph">
            <wp:posOffset>-459105</wp:posOffset>
          </wp:positionV>
          <wp:extent cx="10782935" cy="2343150"/>
          <wp:effectExtent l="0" t="0" r="0" b="0"/>
          <wp:wrapTight wrapText="bothSides">
            <wp:wrapPolygon edited="0">
              <wp:start x="0" y="0"/>
              <wp:lineTo x="0" y="21424"/>
              <wp:lineTo x="21561" y="21424"/>
              <wp:lineTo x="21561" y="0"/>
              <wp:lineTo x="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EA AR banner_1140x288px.jpg"/>
                  <pic:cNvPicPr/>
                </pic:nvPicPr>
                <pic:blipFill rotWithShape="1">
                  <a:blip r:embed="rId1">
                    <a:extLst>
                      <a:ext uri="{28A0092B-C50C-407E-A947-70E740481C1C}">
                        <a14:useLocalDpi xmlns:a14="http://schemas.microsoft.com/office/drawing/2010/main" val="0"/>
                      </a:ext>
                    </a:extLst>
                  </a:blip>
                  <a:srcRect b="6250"/>
                  <a:stretch/>
                </pic:blipFill>
                <pic:spPr bwMode="auto">
                  <a:xfrm>
                    <a:off x="0" y="0"/>
                    <a:ext cx="10782935" cy="2343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DCE0346"/>
    <w:lvl w:ilvl="0">
      <w:numFmt w:val="decimal"/>
      <w:lvlText w:val="*"/>
      <w:lvlJc w:val="left"/>
    </w:lvl>
  </w:abstractNum>
  <w:abstractNum w:abstractNumId="1" w15:restartNumberingAfterBreak="0">
    <w:nsid w:val="006C6066"/>
    <w:multiLevelType w:val="hybridMultilevel"/>
    <w:tmpl w:val="D3D0895C"/>
    <w:lvl w:ilvl="0" w:tplc="0C09000F">
      <w:start w:val="1"/>
      <w:numFmt w:val="decimal"/>
      <w:lvlText w:val="%1."/>
      <w:lvlJc w:val="left"/>
      <w:pPr>
        <w:tabs>
          <w:tab w:val="num" w:pos="780"/>
        </w:tabs>
        <w:ind w:left="780" w:hanging="360"/>
      </w:pPr>
      <w:rPr>
        <w:rFonts w:hint="default"/>
        <w:color w:val="auto"/>
        <w:sz w:val="20"/>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43F3B"/>
    <w:multiLevelType w:val="multilevel"/>
    <w:tmpl w:val="031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E1583"/>
    <w:multiLevelType w:val="singleLevel"/>
    <w:tmpl w:val="B4BABFAC"/>
    <w:lvl w:ilvl="0">
      <w:start w:val="2"/>
      <w:numFmt w:val="decimal"/>
      <w:lvlText w:val="%1."/>
      <w:legacy w:legacy="1" w:legacySpace="0" w:legacyIndent="360"/>
      <w:lvlJc w:val="left"/>
      <w:pPr>
        <w:ind w:left="360" w:hanging="360"/>
      </w:pPr>
    </w:lvl>
  </w:abstractNum>
  <w:abstractNum w:abstractNumId="4" w15:restartNumberingAfterBreak="0">
    <w:nsid w:val="1AA15793"/>
    <w:multiLevelType w:val="hybridMultilevel"/>
    <w:tmpl w:val="D820C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581157"/>
    <w:multiLevelType w:val="hybridMultilevel"/>
    <w:tmpl w:val="21FC359E"/>
    <w:lvl w:ilvl="0" w:tplc="0C09000F">
      <w:start w:val="1"/>
      <w:numFmt w:val="decimal"/>
      <w:lvlText w:val="%1."/>
      <w:lvlJc w:val="left"/>
      <w:pPr>
        <w:tabs>
          <w:tab w:val="num" w:pos="780"/>
        </w:tabs>
        <w:ind w:left="780" w:hanging="360"/>
      </w:pPr>
      <w:rPr>
        <w:color w:val="auto"/>
        <w:sz w:val="20"/>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2FD95E97"/>
    <w:multiLevelType w:val="hybridMultilevel"/>
    <w:tmpl w:val="5C56B0C4"/>
    <w:lvl w:ilvl="0" w:tplc="0C09000F">
      <w:start w:val="1"/>
      <w:numFmt w:val="decimal"/>
      <w:lvlText w:val="%1."/>
      <w:lvlJc w:val="left"/>
      <w:pPr>
        <w:tabs>
          <w:tab w:val="num" w:pos="780"/>
        </w:tabs>
        <w:ind w:left="780" w:hanging="360"/>
      </w:pPr>
      <w:rPr>
        <w:rFonts w:hint="default"/>
        <w:color w:val="auto"/>
        <w:sz w:val="20"/>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DB5501"/>
    <w:multiLevelType w:val="hybridMultilevel"/>
    <w:tmpl w:val="1FD0DC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4E4E73"/>
    <w:multiLevelType w:val="multilevel"/>
    <w:tmpl w:val="B294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156C0B"/>
    <w:multiLevelType w:val="hybridMultilevel"/>
    <w:tmpl w:val="3CC6FE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B4F0F9A"/>
    <w:multiLevelType w:val="hybridMultilevel"/>
    <w:tmpl w:val="6C58D70E"/>
    <w:lvl w:ilvl="0" w:tplc="5A805C14">
      <w:start w:val="1"/>
      <w:numFmt w:val="decimal"/>
      <w:lvlText w:val="%1."/>
      <w:lvlJc w:val="left"/>
      <w:pPr>
        <w:tabs>
          <w:tab w:val="num" w:pos="4187"/>
        </w:tabs>
        <w:ind w:left="4187" w:hanging="360"/>
      </w:pPr>
      <w:rPr>
        <w:rFonts w:hint="default"/>
        <w:i w:val="0"/>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5E92D5A"/>
    <w:multiLevelType w:val="hybridMultilevel"/>
    <w:tmpl w:val="29FE5D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B508EB"/>
    <w:multiLevelType w:val="hybridMultilevel"/>
    <w:tmpl w:val="99A26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lvlOverride w:ilvl="0">
      <w:lvl w:ilvl="0">
        <w:start w:val="1"/>
        <w:numFmt w:val="decimal"/>
        <w:lvlText w:val="%1."/>
        <w:legacy w:legacy="1" w:legacySpace="0" w:legacyIndent="360"/>
        <w:lvlJc w:val="left"/>
        <w:pPr>
          <w:ind w:left="360" w:hanging="360"/>
        </w:pPr>
        <w:rPr>
          <w:color w:val="auto"/>
        </w:r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
    <w:lvlOverride w:ilvl="0">
      <w:startOverride w:val="2"/>
    </w:lvlOverride>
  </w:num>
  <w:num w:numId="6">
    <w:abstractNumId w:val="7"/>
  </w:num>
  <w:num w:numId="7">
    <w:abstractNumId w:val="1"/>
  </w:num>
  <w:num w:numId="8">
    <w:abstractNumId w:val="6"/>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1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6B"/>
    <w:rsid w:val="000239BF"/>
    <w:rsid w:val="00032086"/>
    <w:rsid w:val="00035027"/>
    <w:rsid w:val="000C0654"/>
    <w:rsid w:val="000C32A1"/>
    <w:rsid w:val="000C675D"/>
    <w:rsid w:val="000E6010"/>
    <w:rsid w:val="00110B08"/>
    <w:rsid w:val="00112F05"/>
    <w:rsid w:val="00140C1A"/>
    <w:rsid w:val="00150435"/>
    <w:rsid w:val="00150605"/>
    <w:rsid w:val="001515D1"/>
    <w:rsid w:val="001633C6"/>
    <w:rsid w:val="00173032"/>
    <w:rsid w:val="00173E6B"/>
    <w:rsid w:val="0018337C"/>
    <w:rsid w:val="00193792"/>
    <w:rsid w:val="001942DF"/>
    <w:rsid w:val="001A149F"/>
    <w:rsid w:val="001E45F7"/>
    <w:rsid w:val="0023657E"/>
    <w:rsid w:val="00273DA2"/>
    <w:rsid w:val="0027701C"/>
    <w:rsid w:val="002A4259"/>
    <w:rsid w:val="002F7863"/>
    <w:rsid w:val="003749C4"/>
    <w:rsid w:val="00387A37"/>
    <w:rsid w:val="003C4F49"/>
    <w:rsid w:val="00401B32"/>
    <w:rsid w:val="0043209D"/>
    <w:rsid w:val="00441F27"/>
    <w:rsid w:val="00452337"/>
    <w:rsid w:val="004A3C55"/>
    <w:rsid w:val="004A551C"/>
    <w:rsid w:val="004D032F"/>
    <w:rsid w:val="005742E0"/>
    <w:rsid w:val="00577B06"/>
    <w:rsid w:val="005C33D0"/>
    <w:rsid w:val="005E5FC2"/>
    <w:rsid w:val="005E7310"/>
    <w:rsid w:val="005F2372"/>
    <w:rsid w:val="00610F26"/>
    <w:rsid w:val="00614505"/>
    <w:rsid w:val="00647AF5"/>
    <w:rsid w:val="00662460"/>
    <w:rsid w:val="00687059"/>
    <w:rsid w:val="00690676"/>
    <w:rsid w:val="006B7B66"/>
    <w:rsid w:val="00705D26"/>
    <w:rsid w:val="00711E22"/>
    <w:rsid w:val="00740730"/>
    <w:rsid w:val="007506E2"/>
    <w:rsid w:val="00766866"/>
    <w:rsid w:val="007738BF"/>
    <w:rsid w:val="007D04A2"/>
    <w:rsid w:val="007E33DA"/>
    <w:rsid w:val="007E4094"/>
    <w:rsid w:val="007F500D"/>
    <w:rsid w:val="008131EA"/>
    <w:rsid w:val="008171A8"/>
    <w:rsid w:val="0087797E"/>
    <w:rsid w:val="008A7360"/>
    <w:rsid w:val="008C0CC3"/>
    <w:rsid w:val="008C42BF"/>
    <w:rsid w:val="009044A3"/>
    <w:rsid w:val="00907AF8"/>
    <w:rsid w:val="00917876"/>
    <w:rsid w:val="009416B5"/>
    <w:rsid w:val="00943BF1"/>
    <w:rsid w:val="0096374A"/>
    <w:rsid w:val="0098724A"/>
    <w:rsid w:val="009D3CCE"/>
    <w:rsid w:val="009D41D0"/>
    <w:rsid w:val="009E4FDD"/>
    <w:rsid w:val="00A001B7"/>
    <w:rsid w:val="00A052A0"/>
    <w:rsid w:val="00A121EE"/>
    <w:rsid w:val="00A37BB8"/>
    <w:rsid w:val="00A44683"/>
    <w:rsid w:val="00A62A18"/>
    <w:rsid w:val="00A65521"/>
    <w:rsid w:val="00A91C47"/>
    <w:rsid w:val="00AA00E1"/>
    <w:rsid w:val="00AA0761"/>
    <w:rsid w:val="00B36141"/>
    <w:rsid w:val="00B47884"/>
    <w:rsid w:val="00BC3726"/>
    <w:rsid w:val="00BD43A3"/>
    <w:rsid w:val="00BE04C9"/>
    <w:rsid w:val="00BE06B3"/>
    <w:rsid w:val="00BE678C"/>
    <w:rsid w:val="00C3299C"/>
    <w:rsid w:val="00C42381"/>
    <w:rsid w:val="00C440C5"/>
    <w:rsid w:val="00C64747"/>
    <w:rsid w:val="00CA4E21"/>
    <w:rsid w:val="00CB78BD"/>
    <w:rsid w:val="00CF3C88"/>
    <w:rsid w:val="00D3525D"/>
    <w:rsid w:val="00DD164F"/>
    <w:rsid w:val="00DD64CF"/>
    <w:rsid w:val="00DE4148"/>
    <w:rsid w:val="00DF4D40"/>
    <w:rsid w:val="00E43CFC"/>
    <w:rsid w:val="00E510AC"/>
    <w:rsid w:val="00E523BA"/>
    <w:rsid w:val="00E971C2"/>
    <w:rsid w:val="00EB2528"/>
    <w:rsid w:val="00F33283"/>
    <w:rsid w:val="00F82129"/>
    <w:rsid w:val="00FB1318"/>
    <w:rsid w:val="00FB3FE8"/>
    <w:rsid w:val="00FC7EB4"/>
    <w:rsid w:val="00FF5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4AC00A98"/>
  <w15:chartTrackingRefBased/>
  <w15:docId w15:val="{3B44BFCF-E017-4643-8878-8DE5CE18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01C"/>
    <w:pPr>
      <w:spacing w:after="0" w:line="240" w:lineRule="auto"/>
    </w:pPr>
    <w:rPr>
      <w:rFonts w:ascii="Calibri" w:hAnsi="Calibri" w:cs="Calibri"/>
    </w:rPr>
  </w:style>
  <w:style w:type="paragraph" w:styleId="Heading2">
    <w:name w:val="heading 2"/>
    <w:basedOn w:val="Normal"/>
    <w:link w:val="Heading2Char"/>
    <w:uiPriority w:val="9"/>
    <w:qFormat/>
    <w:rsid w:val="00173E6B"/>
    <w:pPr>
      <w:spacing w:before="336" w:after="100" w:afterAutospacing="1"/>
      <w:outlineLvl w:val="1"/>
    </w:pPr>
    <w:rPr>
      <w:rFonts w:ascii="Helvetica" w:eastAsia="Times New Roman" w:hAnsi="Helvetica" w:cs="Helvetica"/>
      <w:color w:val="2E3438"/>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3E6B"/>
    <w:rPr>
      <w:rFonts w:ascii="Helvetica" w:eastAsia="Times New Roman" w:hAnsi="Helvetica" w:cs="Helvetica"/>
      <w:color w:val="2E3438"/>
      <w:sz w:val="36"/>
      <w:szCs w:val="36"/>
      <w:lang w:eastAsia="en-AU"/>
    </w:rPr>
  </w:style>
  <w:style w:type="character" w:styleId="Hyperlink">
    <w:name w:val="Hyperlink"/>
    <w:basedOn w:val="DefaultParagraphFont"/>
    <w:uiPriority w:val="99"/>
    <w:unhideWhenUsed/>
    <w:rsid w:val="00173E6B"/>
    <w:rPr>
      <w:strike w:val="0"/>
      <w:dstrike w:val="0"/>
      <w:color w:val="0275D8"/>
      <w:u w:val="none"/>
      <w:effect w:val="none"/>
      <w:shd w:val="clear" w:color="auto" w:fill="auto"/>
    </w:rPr>
  </w:style>
  <w:style w:type="character" w:styleId="HTMLDefinition">
    <w:name w:val="HTML Definition"/>
    <w:basedOn w:val="DefaultParagraphFont"/>
    <w:uiPriority w:val="99"/>
    <w:semiHidden/>
    <w:unhideWhenUsed/>
    <w:rsid w:val="00173E6B"/>
    <w:rPr>
      <w:i w:val="0"/>
      <w:iCs w:val="0"/>
    </w:rPr>
  </w:style>
  <w:style w:type="paragraph" w:styleId="NormalWeb">
    <w:name w:val="Normal (Web)"/>
    <w:basedOn w:val="Normal"/>
    <w:uiPriority w:val="99"/>
    <w:semiHidden/>
    <w:unhideWhenUsed/>
    <w:rsid w:val="00173E6B"/>
    <w:pPr>
      <w:spacing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B7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B66"/>
    <w:rPr>
      <w:rFonts w:ascii="Segoe UI" w:hAnsi="Segoe UI" w:cs="Segoe UI"/>
      <w:sz w:val="18"/>
      <w:szCs w:val="18"/>
    </w:rPr>
  </w:style>
  <w:style w:type="paragraph" w:styleId="Header">
    <w:name w:val="header"/>
    <w:basedOn w:val="Normal"/>
    <w:link w:val="HeaderChar"/>
    <w:uiPriority w:val="99"/>
    <w:unhideWhenUsed/>
    <w:rsid w:val="005C33D0"/>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5C33D0"/>
  </w:style>
  <w:style w:type="paragraph" w:styleId="Footer">
    <w:name w:val="footer"/>
    <w:basedOn w:val="Normal"/>
    <w:link w:val="FooterChar"/>
    <w:uiPriority w:val="99"/>
    <w:unhideWhenUsed/>
    <w:rsid w:val="005C33D0"/>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5C33D0"/>
  </w:style>
  <w:style w:type="paragraph" w:styleId="FootnoteText">
    <w:name w:val="footnote text"/>
    <w:basedOn w:val="Normal"/>
    <w:link w:val="FootnoteTextChar"/>
    <w:rsid w:val="009D41D0"/>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9D41D0"/>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9D41D0"/>
    <w:rPr>
      <w:vertAlign w:val="superscript"/>
    </w:rPr>
  </w:style>
  <w:style w:type="character" w:styleId="UnresolvedMention">
    <w:name w:val="Unresolved Mention"/>
    <w:basedOn w:val="DefaultParagraphFont"/>
    <w:uiPriority w:val="99"/>
    <w:semiHidden/>
    <w:unhideWhenUsed/>
    <w:rsid w:val="002A4259"/>
    <w:rPr>
      <w:color w:val="605E5C"/>
      <w:shd w:val="clear" w:color="auto" w:fill="E1DFDD"/>
    </w:rPr>
  </w:style>
  <w:style w:type="character" w:styleId="CommentReference">
    <w:name w:val="annotation reference"/>
    <w:basedOn w:val="DefaultParagraphFont"/>
    <w:semiHidden/>
    <w:rsid w:val="002F7863"/>
    <w:rPr>
      <w:sz w:val="16"/>
      <w:szCs w:val="16"/>
    </w:rPr>
  </w:style>
  <w:style w:type="paragraph" w:styleId="CommentText">
    <w:name w:val="annotation text"/>
    <w:basedOn w:val="Normal"/>
    <w:link w:val="CommentTextChar"/>
    <w:semiHidden/>
    <w:rsid w:val="002F7863"/>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F7863"/>
    <w:rPr>
      <w:rFonts w:ascii="Times New Roman" w:eastAsia="Times New Roman" w:hAnsi="Times New Roman" w:cs="Times New Roman"/>
      <w:sz w:val="20"/>
      <w:szCs w:val="20"/>
    </w:rPr>
  </w:style>
  <w:style w:type="paragraph" w:styleId="ListParagraph">
    <w:name w:val="List Paragraph"/>
    <w:basedOn w:val="Normal"/>
    <w:uiPriority w:val="34"/>
    <w:qFormat/>
    <w:rsid w:val="002F7863"/>
    <w:pPr>
      <w:ind w:left="720"/>
      <w:contextualSpacing/>
      <w:jc w:val="both"/>
    </w:pPr>
    <w:rPr>
      <w:rFonts w:ascii="Times New Roman" w:eastAsia="Times New Roman" w:hAnsi="Times New Roman" w:cs="Times New Roman"/>
      <w:szCs w:val="20"/>
    </w:rPr>
  </w:style>
  <w:style w:type="table" w:styleId="TableGrid">
    <w:name w:val="Table Grid"/>
    <w:basedOn w:val="TableNormal"/>
    <w:rsid w:val="002F786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B3FE8"/>
    <w:pPr>
      <w:jc w:val="left"/>
    </w:pPr>
    <w:rPr>
      <w:rFonts w:ascii="Calibri" w:eastAsiaTheme="minorHAnsi" w:hAnsi="Calibri" w:cs="Calibri"/>
      <w:b/>
      <w:bCs/>
    </w:rPr>
  </w:style>
  <w:style w:type="character" w:customStyle="1" w:styleId="CommentSubjectChar">
    <w:name w:val="Comment Subject Char"/>
    <w:basedOn w:val="CommentTextChar"/>
    <w:link w:val="CommentSubject"/>
    <w:uiPriority w:val="99"/>
    <w:semiHidden/>
    <w:rsid w:val="00FB3FE8"/>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66537">
      <w:bodyDiv w:val="1"/>
      <w:marLeft w:val="0"/>
      <w:marRight w:val="0"/>
      <w:marTop w:val="0"/>
      <w:marBottom w:val="0"/>
      <w:divBdr>
        <w:top w:val="none" w:sz="0" w:space="0" w:color="auto"/>
        <w:left w:val="none" w:sz="0" w:space="0" w:color="auto"/>
        <w:bottom w:val="none" w:sz="0" w:space="0" w:color="auto"/>
        <w:right w:val="none" w:sz="0" w:space="0" w:color="auto"/>
      </w:divBdr>
    </w:div>
    <w:div w:id="221789322">
      <w:bodyDiv w:val="1"/>
      <w:marLeft w:val="0"/>
      <w:marRight w:val="0"/>
      <w:marTop w:val="0"/>
      <w:marBottom w:val="0"/>
      <w:divBdr>
        <w:top w:val="none" w:sz="0" w:space="0" w:color="auto"/>
        <w:left w:val="none" w:sz="0" w:space="0" w:color="auto"/>
        <w:bottom w:val="none" w:sz="0" w:space="0" w:color="auto"/>
        <w:right w:val="none" w:sz="0" w:space="0" w:color="auto"/>
      </w:divBdr>
    </w:div>
    <w:div w:id="485319250">
      <w:bodyDiv w:val="1"/>
      <w:marLeft w:val="0"/>
      <w:marRight w:val="0"/>
      <w:marTop w:val="0"/>
      <w:marBottom w:val="0"/>
      <w:divBdr>
        <w:top w:val="none" w:sz="0" w:space="0" w:color="auto"/>
        <w:left w:val="none" w:sz="0" w:space="0" w:color="auto"/>
        <w:bottom w:val="none" w:sz="0" w:space="0" w:color="auto"/>
        <w:right w:val="none" w:sz="0" w:space="0" w:color="auto"/>
      </w:divBdr>
      <w:divsChild>
        <w:div w:id="1583373449">
          <w:marLeft w:val="0"/>
          <w:marRight w:val="0"/>
          <w:marTop w:val="0"/>
          <w:marBottom w:val="0"/>
          <w:divBdr>
            <w:top w:val="none" w:sz="0" w:space="0" w:color="auto"/>
            <w:left w:val="none" w:sz="0" w:space="0" w:color="auto"/>
            <w:bottom w:val="none" w:sz="0" w:space="0" w:color="auto"/>
            <w:right w:val="none" w:sz="0" w:space="0" w:color="auto"/>
          </w:divBdr>
          <w:divsChild>
            <w:div w:id="773131364">
              <w:marLeft w:val="0"/>
              <w:marRight w:val="0"/>
              <w:marTop w:val="0"/>
              <w:marBottom w:val="0"/>
              <w:divBdr>
                <w:top w:val="none" w:sz="0" w:space="0" w:color="auto"/>
                <w:left w:val="none" w:sz="0" w:space="0" w:color="auto"/>
                <w:bottom w:val="none" w:sz="0" w:space="0" w:color="auto"/>
                <w:right w:val="none" w:sz="0" w:space="0" w:color="auto"/>
              </w:divBdr>
              <w:divsChild>
                <w:div w:id="544947239">
                  <w:marLeft w:val="-225"/>
                  <w:marRight w:val="-225"/>
                  <w:marTop w:val="0"/>
                  <w:marBottom w:val="0"/>
                  <w:divBdr>
                    <w:top w:val="none" w:sz="0" w:space="0" w:color="auto"/>
                    <w:left w:val="none" w:sz="0" w:space="0" w:color="auto"/>
                    <w:bottom w:val="none" w:sz="0" w:space="0" w:color="auto"/>
                    <w:right w:val="none" w:sz="0" w:space="0" w:color="auto"/>
                  </w:divBdr>
                  <w:divsChild>
                    <w:div w:id="644891250">
                      <w:marLeft w:val="0"/>
                      <w:marRight w:val="0"/>
                      <w:marTop w:val="0"/>
                      <w:marBottom w:val="0"/>
                      <w:divBdr>
                        <w:top w:val="none" w:sz="0" w:space="0" w:color="auto"/>
                        <w:left w:val="none" w:sz="0" w:space="0" w:color="auto"/>
                        <w:bottom w:val="none" w:sz="0" w:space="0" w:color="auto"/>
                        <w:right w:val="none" w:sz="0" w:space="0" w:color="auto"/>
                      </w:divBdr>
                      <w:divsChild>
                        <w:div w:id="593436298">
                          <w:marLeft w:val="0"/>
                          <w:marRight w:val="0"/>
                          <w:marTop w:val="0"/>
                          <w:marBottom w:val="0"/>
                          <w:divBdr>
                            <w:top w:val="none" w:sz="0" w:space="0" w:color="auto"/>
                            <w:left w:val="none" w:sz="0" w:space="0" w:color="auto"/>
                            <w:bottom w:val="none" w:sz="0" w:space="0" w:color="auto"/>
                            <w:right w:val="none" w:sz="0" w:space="0" w:color="auto"/>
                          </w:divBdr>
                          <w:divsChild>
                            <w:div w:id="527987154">
                              <w:marLeft w:val="0"/>
                              <w:marRight w:val="0"/>
                              <w:marTop w:val="0"/>
                              <w:marBottom w:val="0"/>
                              <w:divBdr>
                                <w:top w:val="none" w:sz="0" w:space="0" w:color="auto"/>
                                <w:left w:val="none" w:sz="0" w:space="0" w:color="auto"/>
                                <w:bottom w:val="none" w:sz="0" w:space="0" w:color="auto"/>
                                <w:right w:val="none" w:sz="0" w:space="0" w:color="auto"/>
                              </w:divBdr>
                              <w:divsChild>
                                <w:div w:id="628315016">
                                  <w:marLeft w:val="0"/>
                                  <w:marRight w:val="0"/>
                                  <w:marTop w:val="0"/>
                                  <w:marBottom w:val="0"/>
                                  <w:divBdr>
                                    <w:top w:val="none" w:sz="0" w:space="0" w:color="auto"/>
                                    <w:left w:val="none" w:sz="0" w:space="0" w:color="auto"/>
                                    <w:bottom w:val="none" w:sz="0" w:space="0" w:color="auto"/>
                                    <w:right w:val="none" w:sz="0" w:space="0" w:color="auto"/>
                                  </w:divBdr>
                                  <w:divsChild>
                                    <w:div w:id="1923875194">
                                      <w:marLeft w:val="0"/>
                                      <w:marRight w:val="0"/>
                                      <w:marTop w:val="0"/>
                                      <w:marBottom w:val="0"/>
                                      <w:divBdr>
                                        <w:top w:val="none" w:sz="0" w:space="0" w:color="auto"/>
                                        <w:left w:val="none" w:sz="0" w:space="0" w:color="auto"/>
                                        <w:bottom w:val="none" w:sz="0" w:space="0" w:color="auto"/>
                                        <w:right w:val="none" w:sz="0" w:space="0" w:color="auto"/>
                                      </w:divBdr>
                                      <w:divsChild>
                                        <w:div w:id="1159618783">
                                          <w:marLeft w:val="0"/>
                                          <w:marRight w:val="0"/>
                                          <w:marTop w:val="0"/>
                                          <w:marBottom w:val="0"/>
                                          <w:divBdr>
                                            <w:top w:val="none" w:sz="0" w:space="0" w:color="auto"/>
                                            <w:left w:val="none" w:sz="0" w:space="0" w:color="auto"/>
                                            <w:bottom w:val="none" w:sz="0" w:space="0" w:color="auto"/>
                                            <w:right w:val="none" w:sz="0" w:space="0" w:color="auto"/>
                                          </w:divBdr>
                                          <w:divsChild>
                                            <w:div w:id="12590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sbestossafety.gov.au" TargetMode="External"/><Relationship Id="rId1" Type="http://schemas.openxmlformats.org/officeDocument/2006/relationships/hyperlink" Target="mailto:events@asbestossafety.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sbestossafety.gov.au" TargetMode="External"/><Relationship Id="rId1" Type="http://schemas.openxmlformats.org/officeDocument/2006/relationships/hyperlink" Target="mailto:events@asbestossafety.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94B679238FA4C9C0BC6E3FF0AF82B" ma:contentTypeVersion="13" ma:contentTypeDescription="Create a new document." ma:contentTypeScope="" ma:versionID="e90785ec0df45c0ad8623a92cff76598">
  <xsd:schema xmlns:xsd="http://www.w3.org/2001/XMLSchema" xmlns:xs="http://www.w3.org/2001/XMLSchema" xmlns:p="http://schemas.microsoft.com/office/2006/metadata/properties" xmlns:ns2="11ff4e0f-c43f-4343-bd0c-525c745c2637" xmlns:ns3="08a34b43-6862-4e63-a846-68db7a037adf" targetNamespace="http://schemas.microsoft.com/office/2006/metadata/properties" ma:root="true" ma:fieldsID="b09bf7234a7cf16c763f306b699b6b16" ns2:_="" ns3:_="">
    <xsd:import namespace="11ff4e0f-c43f-4343-bd0c-525c745c2637"/>
    <xsd:import namespace="08a34b43-6862-4e63-a846-68db7a037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f4e0f-c43f-4343-bd0c-525c745c2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a34b43-6862-4e63-a846-68db7a037a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13925-E5A9-423C-A117-7287126AC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f4e0f-c43f-4343-bd0c-525c745c2637"/>
    <ds:schemaRef ds:uri="08a34b43-6862-4e63-a846-68db7a037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5E3F5-020E-4694-979E-0F1983DFF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38AF2F-F005-493D-9306-1FA513CC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ROSS,Justine</dc:creator>
  <cp:keywords/>
  <dc:description/>
  <cp:lastModifiedBy>RIES,Marion</cp:lastModifiedBy>
  <cp:revision>24</cp:revision>
  <cp:lastPrinted>2020-08-19T07:36:00Z</cp:lastPrinted>
  <dcterms:created xsi:type="dcterms:W3CDTF">2022-01-17T06:21:00Z</dcterms:created>
  <dcterms:modified xsi:type="dcterms:W3CDTF">2022-01-26T22:14:00Z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0x01010093694B679238FA4C9C0BC6E3FF0AF82B</vt:lpwstr>
  </property>
</Properties>
</file>